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51" w:rsidRPr="00652151" w:rsidRDefault="00652151" w:rsidP="00652151">
      <w:pPr>
        <w:spacing w:before="74" w:after="74" w:line="422" w:lineRule="atLeast"/>
        <w:ind w:left="993" w:right="99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65215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 TRATA DE LA LEY 1/2013, DE 14 DE MAYO, DE MEDIDAS PARA REFORZAR LA PROTECCIÓN A LOS DEUDORES HIPOTECARIOS, REESTRUCTURACIÓN DE DEUDA Y ALQUILER SOCIAL.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resu"/>
      <w:bookmarkEnd w:id="0"/>
      <w:r w:rsidRPr="00652151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   </w:t>
      </w:r>
      <w:r w:rsidRPr="0065215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5215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52151">
        <w:rPr>
          <w:rFonts w:ascii="Times New Roman" w:eastAsia="Times New Roman" w:hAnsi="Times New Roman" w:cs="Times New Roman"/>
          <w:b/>
          <w:bCs/>
          <w:color w:val="000000"/>
          <w:sz w:val="27"/>
          <w:lang w:eastAsia="es-ES"/>
        </w:rPr>
        <w:t>BREVE RESUMEN</w:t>
      </w:r>
      <w:r w:rsidRPr="00652151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          </w:t>
      </w:r>
      <w:r w:rsidRPr="00652151">
        <w:rPr>
          <w:rFonts w:ascii="Times New Roman" w:eastAsia="Times New Roman" w:hAnsi="Times New Roman" w:cs="Times New Roman"/>
          <w:color w:val="000000"/>
          <w:sz w:val="27"/>
          <w:lang w:eastAsia="es-ES"/>
        </w:rPr>
        <w:t> </w:t>
      </w:r>
      <w:r w:rsidRPr="00652151">
        <w:rPr>
          <w:rFonts w:ascii="Arial" w:eastAsia="Times New Roman" w:hAnsi="Arial" w:cs="Arial"/>
          <w:color w:val="000000"/>
          <w:lang w:eastAsia="es-ES"/>
        </w:rPr>
        <w:t>Esta Ley se dicta en atención a las circunstancias excepcionales creadas por la larga crisis económica que atravesamos y que han provocado que muchos ciudadanos, suscriptores de préstamos hipotecarios para la adquisición de su vivienda habitual, se vean en importantes dificultades para atender a sus compromisos por causas que les son ajenas y, corriendo el riesgo de caer en una situación de exclusión social.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Con ella, se dictan una serie de medidas a lo largo de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cuatro capítulos</w:t>
      </w:r>
      <w:r w:rsidRPr="00652151">
        <w:rPr>
          <w:rFonts w:ascii="Arial" w:eastAsia="Times New Roman" w:hAnsi="Arial" w:cs="Arial"/>
          <w:color w:val="000000"/>
          <w:lang w:eastAsia="es-ES"/>
        </w:rPr>
        <w:t> que mejoran su estatus jurídico e intentan aliviar su situación. Primero, los resumimos sucintamente: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El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Capítulo primero</w:t>
      </w:r>
      <w:r w:rsidRPr="00652151">
        <w:rPr>
          <w:rFonts w:ascii="Arial" w:eastAsia="Times New Roman" w:hAnsi="Arial" w:cs="Arial"/>
          <w:color w:val="000000"/>
          <w:lang w:eastAsia="es-ES"/>
        </w:rPr>
        <w:t> prevé la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suspensión</w:t>
      </w:r>
      <w:r w:rsidRPr="00652151">
        <w:rPr>
          <w:rFonts w:ascii="Arial" w:eastAsia="Times New Roman" w:hAnsi="Arial" w:cs="Arial"/>
          <w:color w:val="000000"/>
          <w:lang w:eastAsia="es-ES"/>
        </w:rPr>
        <w:t> inmediata y por un plazo de dos años de los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desahucios</w:t>
      </w:r>
      <w:r w:rsidRPr="00652151">
        <w:rPr>
          <w:rFonts w:ascii="Arial" w:eastAsia="Times New Roman" w:hAnsi="Arial" w:cs="Arial"/>
          <w:color w:val="000000"/>
          <w:lang w:eastAsia="es-ES"/>
        </w:rPr>
        <w:t> de las familias que se encuentren en una situación de especial riesgo de exclusión.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El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Capítulo segundo</w:t>
      </w:r>
      <w:r w:rsidRPr="00652151">
        <w:rPr>
          <w:rFonts w:ascii="Arial" w:eastAsia="Times New Roman" w:hAnsi="Arial" w:cs="Arial"/>
          <w:color w:val="000000"/>
          <w:lang w:eastAsia="es-ES"/>
        </w:rPr>
        <w:t> modifica la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Ley Hipotecaria</w:t>
      </w:r>
      <w:r w:rsidRPr="00652151">
        <w:rPr>
          <w:rFonts w:ascii="Arial" w:eastAsia="Times New Roman" w:hAnsi="Arial" w:cs="Arial"/>
          <w:color w:val="000000"/>
          <w:lang w:eastAsia="es-ES"/>
        </w:rPr>
        <w:t> y la normativa del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mercado hipotecario</w:t>
      </w:r>
      <w:r w:rsidRPr="00652151">
        <w:rPr>
          <w:rFonts w:ascii="Arial" w:eastAsia="Times New Roman" w:hAnsi="Arial" w:cs="Arial"/>
          <w:color w:val="000000"/>
          <w:lang w:eastAsia="es-ES"/>
        </w:rPr>
        <w:t>, con medidas como la limitación de los interese de demora, su no capitalización, mejoras en el procedimiento extrajudicial -como la celebración de una única subasta electrónica-, o el fortalecimiento en la independencia de las sociedades de tasación. En un artículo autónomo impone la escritura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escritura manuscrita</w:t>
      </w:r>
      <w:r w:rsidRPr="00652151">
        <w:rPr>
          <w:rFonts w:ascii="Arial" w:eastAsia="Times New Roman" w:hAnsi="Arial" w:cs="Arial"/>
          <w:color w:val="000000"/>
          <w:lang w:eastAsia="es-ES"/>
        </w:rPr>
        <w:t> de ciertos prestatarios en las matrices.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El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Capítulo III</w:t>
      </w:r>
      <w:r w:rsidRPr="00652151">
        <w:rPr>
          <w:rFonts w:ascii="Arial" w:eastAsia="Times New Roman" w:hAnsi="Arial" w:cs="Arial"/>
          <w:color w:val="000000"/>
          <w:lang w:eastAsia="es-ES"/>
        </w:rPr>
        <w:t> recoge diferentes innovaciones en la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Ley de Enjuiciamiento Civil</w:t>
      </w:r>
      <w:r w:rsidRPr="00652151">
        <w:rPr>
          <w:rFonts w:ascii="Arial" w:eastAsia="Times New Roman" w:hAnsi="Arial" w:cs="Arial"/>
          <w:color w:val="000000"/>
          <w:lang w:eastAsia="es-ES"/>
        </w:rPr>
        <w:t> que afectan a la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ejecución en general e hipotecaria en particular</w:t>
      </w:r>
      <w:r w:rsidRPr="00652151">
        <w:rPr>
          <w:rFonts w:ascii="Arial" w:eastAsia="Times New Roman" w:hAnsi="Arial" w:cs="Arial"/>
          <w:color w:val="000000"/>
          <w:lang w:eastAsia="es-ES"/>
        </w:rPr>
        <w:t xml:space="preserve">, a posibles condonaciones posteriores, al derecho a parte de la revalorización, a la posibilidad de apreciar la </w:t>
      </w:r>
      <w:proofErr w:type="spellStart"/>
      <w:r w:rsidRPr="00652151">
        <w:rPr>
          <w:rFonts w:ascii="Arial" w:eastAsia="Times New Roman" w:hAnsi="Arial" w:cs="Arial"/>
          <w:color w:val="000000"/>
          <w:lang w:eastAsia="es-ES"/>
        </w:rPr>
        <w:t>abusividad</w:t>
      </w:r>
      <w:proofErr w:type="spellEnd"/>
      <w:r w:rsidRPr="00652151">
        <w:rPr>
          <w:rFonts w:ascii="Arial" w:eastAsia="Times New Roman" w:hAnsi="Arial" w:cs="Arial"/>
          <w:color w:val="000000"/>
          <w:lang w:eastAsia="es-ES"/>
        </w:rPr>
        <w:t xml:space="preserve"> de determinadas cláusulas o al valor de tasación en las escrituras.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Y el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Capítulo IV</w:t>
      </w:r>
      <w:r w:rsidRPr="00652151">
        <w:rPr>
          <w:rFonts w:ascii="Arial" w:eastAsia="Times New Roman" w:hAnsi="Arial" w:cs="Arial"/>
          <w:color w:val="000000"/>
          <w:lang w:eastAsia="es-ES"/>
        </w:rPr>
        <w:t> modifica el </w:t>
      </w:r>
      <w:hyperlink r:id="rId4" w:history="1">
        <w:r w:rsidRPr="00652151">
          <w:rPr>
            <w:rFonts w:ascii="Arial" w:eastAsia="Times New Roman" w:hAnsi="Arial" w:cs="Arial"/>
            <w:color w:val="0000FF"/>
            <w:u w:val="single"/>
            <w:lang w:eastAsia="es-ES"/>
          </w:rPr>
          <w:t>Real Decreto-Ley 6/2012, de 9 de marzo</w:t>
        </w:r>
      </w:hyperlink>
      <w:r w:rsidRPr="00652151">
        <w:rPr>
          <w:rFonts w:ascii="Arial" w:eastAsia="Times New Roman" w:hAnsi="Arial" w:cs="Arial"/>
          <w:color w:val="000000"/>
          <w:lang w:eastAsia="es-ES"/>
        </w:rPr>
        <w:t>, de medidas urgentes de protección de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deudores hipotecarios sin recursos</w:t>
      </w:r>
      <w:r w:rsidRPr="00652151">
        <w:rPr>
          <w:rFonts w:ascii="Arial" w:eastAsia="Times New Roman" w:hAnsi="Arial" w:cs="Arial"/>
          <w:color w:val="000000"/>
          <w:lang w:eastAsia="es-ES"/>
        </w:rPr>
        <w:t>, tanto en lo que afecta al ámbito de aplicación, como en lo relativo a las características de las medidas que pueden ser adoptadas, lo que afecta al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Código de Buenas Prácticas</w:t>
      </w:r>
      <w:r w:rsidRPr="00652151">
        <w:rPr>
          <w:rFonts w:ascii="Arial" w:eastAsia="Times New Roman" w:hAnsi="Arial" w:cs="Arial"/>
          <w:color w:val="000000"/>
          <w:lang w:eastAsia="es-ES"/>
        </w:rPr>
        <w:t>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lastRenderedPageBreak/>
        <w:t>            La Ley concluye con disposiciones adicionales, como la del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Fondo Social de Viviendas</w:t>
      </w:r>
      <w:r w:rsidRPr="00652151">
        <w:rPr>
          <w:rFonts w:ascii="Arial" w:eastAsia="Times New Roman" w:hAnsi="Arial" w:cs="Arial"/>
          <w:color w:val="000000"/>
          <w:lang w:eastAsia="es-ES"/>
        </w:rPr>
        <w:t>; nada menos que diez disposiciones transitorias, y disposiciones finales, como la que prevé la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recuperación del Plan de Pensiones,</w:t>
      </w:r>
      <w:r w:rsidRPr="00652151">
        <w:rPr>
          <w:rFonts w:ascii="Arial" w:eastAsia="Times New Roman" w:hAnsi="Arial" w:cs="Arial"/>
          <w:color w:val="000000"/>
          <w:lang w:eastAsia="es-ES"/>
        </w:rPr>
        <w:t> si se trata de evitar la pérdida de la vivienda habitual.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bookmarkStart w:id="1" w:name="lanza"/>
      <w:bookmarkEnd w:id="1"/>
      <w:r w:rsidRPr="00652151">
        <w:rPr>
          <w:rFonts w:ascii="Arial" w:eastAsia="Times New Roman" w:hAnsi="Arial" w:cs="Arial"/>
          <w:color w:val="000000"/>
          <w:lang w:eastAsia="es-ES"/>
        </w:rPr>
        <w:t> </w:t>
      </w:r>
      <w:r w:rsidRPr="00652151">
        <w:rPr>
          <w:rFonts w:ascii="Arial" w:eastAsia="Times New Roman" w:hAnsi="Arial" w:cs="Arial"/>
          <w:color w:val="000000"/>
          <w:lang w:eastAsia="es-ES"/>
        </w:rPr>
        <w:br/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CAPÍTULO I. Suspensión de los lanzamientos.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Se prevé la suspensión inmediata y por un plazo de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2 años</w:t>
      </w:r>
      <w:r w:rsidRPr="00652151">
        <w:rPr>
          <w:rFonts w:ascii="Arial" w:eastAsia="Times New Roman" w:hAnsi="Arial" w:cs="Arial"/>
          <w:color w:val="000000"/>
          <w:lang w:eastAsia="es-ES"/>
        </w:rPr>
        <w:t> –desde la entrada en vigor de la Ley- de los desahucios de las familias que se encuentren en una situación de especial riesgo de exclusión.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-- Es una medida de carácter excepcional y temporal, que afectará a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cualquier proceso judicial de ejecución hipotecaria o venta extrajudicial</w:t>
      </w:r>
      <w:r w:rsidRPr="00652151">
        <w:rPr>
          <w:rFonts w:ascii="Arial" w:eastAsia="Times New Roman" w:hAnsi="Arial" w:cs="Arial"/>
          <w:color w:val="000000"/>
          <w:lang w:eastAsia="es-ES"/>
        </w:rPr>
        <w:t> por el cual se adjudique al acreedor, o a persona que actúe por su cuenta,  la vivienda habitual del ejecutado.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Se precisan dos tipos de requisitos, debiendo de darse todos: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-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Requisitos subjetivos:</w:t>
      </w:r>
      <w:r w:rsidRPr="00652151">
        <w:rPr>
          <w:rFonts w:ascii="Arial" w:eastAsia="Times New Roman" w:hAnsi="Arial" w:cs="Arial"/>
          <w:color w:val="000000"/>
          <w:lang w:eastAsia="es-ES"/>
        </w:rPr>
        <w:t xml:space="preserve"> La vivienda debió de pertenecer a uno de estos colectivos: familias numerosas, las </w:t>
      </w:r>
      <w:proofErr w:type="spellStart"/>
      <w:r w:rsidRPr="00652151">
        <w:rPr>
          <w:rFonts w:ascii="Arial" w:eastAsia="Times New Roman" w:hAnsi="Arial" w:cs="Arial"/>
          <w:color w:val="000000"/>
          <w:lang w:eastAsia="es-ES"/>
        </w:rPr>
        <w:t>monoparentales</w:t>
      </w:r>
      <w:proofErr w:type="spellEnd"/>
      <w:r w:rsidRPr="00652151">
        <w:rPr>
          <w:rFonts w:ascii="Arial" w:eastAsia="Times New Roman" w:hAnsi="Arial" w:cs="Arial"/>
          <w:color w:val="000000"/>
          <w:lang w:eastAsia="es-ES"/>
        </w:rPr>
        <w:t xml:space="preserve"> con 2 hijos; las que tengan un menor de 3 años o algún miembro con discapacidad o dependiente, o en las que el deudor hipotecario se encuentre en situación de desempleo y haya agotado las prestaciones sociales; y, las víctimas de violencia de género.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-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Requisitos objetivos:</w:t>
      </w:r>
      <w:r w:rsidRPr="00652151">
        <w:rPr>
          <w:rFonts w:ascii="Arial" w:eastAsia="Times New Roman" w:hAnsi="Arial" w:cs="Arial"/>
          <w:color w:val="000000"/>
          <w:lang w:eastAsia="es-ES"/>
        </w:rPr>
        <w:t> 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   - Los ingresos familiares no han de superar el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triple del IPREM</w:t>
      </w:r>
      <w:r w:rsidRPr="00652151">
        <w:rPr>
          <w:rFonts w:ascii="Arial" w:eastAsia="Times New Roman" w:hAnsi="Arial" w:cs="Arial"/>
          <w:color w:val="000000"/>
          <w:lang w:eastAsia="es-ES"/>
        </w:rPr>
        <w:t> (cuatro o cinco veces para discapacitados);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   - la cuota hipotecaria superaba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el 50 % de los ingresos netos</w:t>
      </w:r>
      <w:r w:rsidRPr="00652151">
        <w:rPr>
          <w:rFonts w:ascii="Arial" w:eastAsia="Times New Roman" w:hAnsi="Arial" w:cs="Arial"/>
          <w:color w:val="000000"/>
          <w:lang w:eastAsia="es-ES"/>
        </w:rPr>
        <w:t> de todos;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    - en los cuatro años anteriores, la unidad familiar sufrió una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alteración significativa</w:t>
      </w:r>
      <w:r w:rsidRPr="00652151">
        <w:rPr>
          <w:rFonts w:ascii="Arial" w:eastAsia="Times New Roman" w:hAnsi="Arial" w:cs="Arial"/>
          <w:color w:val="000000"/>
          <w:lang w:eastAsia="es-ES"/>
        </w:rPr>
        <w:t> de sus circunstancias económicas, en términos de esfuerzo de acceso a la vivienda cifrada en un 150%.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   - el crédito o préstamo hipotecario recaía sobre la </w:t>
      </w:r>
      <w:r w:rsidRPr="00652151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única vivienda propiedad del deudor</w:t>
      </w:r>
      <w:r w:rsidRPr="00652151">
        <w:rPr>
          <w:rFonts w:ascii="Arial" w:eastAsia="Times New Roman" w:hAnsi="Arial" w:cs="Arial"/>
          <w:color w:val="000000"/>
          <w:lang w:eastAsia="es-ES"/>
        </w:rPr>
        <w:t>, habiendo sido concedido para la adquisición de la misma.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La parte de la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deuda que no haya podido ser cubierta</w:t>
      </w:r>
      <w:r w:rsidRPr="00652151">
        <w:rPr>
          <w:rFonts w:ascii="Arial" w:eastAsia="Times New Roman" w:hAnsi="Arial" w:cs="Arial"/>
          <w:color w:val="000000"/>
          <w:lang w:eastAsia="es-ES"/>
        </w:rPr>
        <w:t> con la vivienda habitual no devengará más interés de demora que el resultante de sumar a los intereses remuneratorios un 2% sobre la deuda pendiente.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El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modo de acreditar</w:t>
      </w:r>
      <w:r w:rsidRPr="00652151">
        <w:rPr>
          <w:rFonts w:ascii="Arial" w:eastAsia="Times New Roman" w:hAnsi="Arial" w:cs="Arial"/>
          <w:color w:val="000000"/>
          <w:lang w:eastAsia="es-ES"/>
        </w:rPr>
        <w:t> estos requisitos ante el Juez o el Notario se recogen en el art. 2 con cuatro apartados: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lastRenderedPageBreak/>
        <w:t>               a) Ingresos por los miembros de la unidad familiar (certificados de rentas, nóminas, subsidios…)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b) Personas que habitan la vivienda (Libro de familia, empadronamiento…)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c) Titularidad de los bienes (certificados registrales por cada miembro, escrituras…)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    d) Declaración responsable del deudor/es sobre el cumplimiento de los requisitos exigidos.</w:t>
      </w:r>
    </w:p>
    <w:p w:rsidR="00652151" w:rsidRPr="00652151" w:rsidRDefault="00652151" w:rsidP="00652151">
      <w:pPr>
        <w:spacing w:before="74" w:after="74" w:line="348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           Así pues, el </w:t>
      </w:r>
      <w:r w:rsidRPr="00652151">
        <w:rPr>
          <w:rFonts w:ascii="Arial" w:eastAsia="Times New Roman" w:hAnsi="Arial" w:cs="Arial"/>
          <w:b/>
          <w:bCs/>
          <w:color w:val="000000"/>
          <w:lang w:eastAsia="es-ES"/>
        </w:rPr>
        <w:t>Notario</w:t>
      </w:r>
      <w:r w:rsidRPr="00652151">
        <w:rPr>
          <w:rFonts w:ascii="Arial" w:eastAsia="Times New Roman" w:hAnsi="Arial" w:cs="Arial"/>
          <w:color w:val="000000"/>
          <w:lang w:eastAsia="es-ES"/>
        </w:rPr>
        <w:t> puede colaborar a evitar los lanzamientos en los procedimientos extrajudiciales que conozca, recopilando la documentación necesaria para que la autoridad judicial los paralice.</w:t>
      </w:r>
    </w:p>
    <w:p w:rsidR="00652151" w:rsidRPr="00652151" w:rsidRDefault="00652151" w:rsidP="00652151">
      <w:pPr>
        <w:spacing w:before="74" w:after="74" w:line="422" w:lineRule="atLeast"/>
        <w:ind w:left="993" w:right="993"/>
        <w:jc w:val="both"/>
        <w:rPr>
          <w:rFonts w:ascii="Arial" w:eastAsia="Times New Roman" w:hAnsi="Arial" w:cs="Arial"/>
          <w:color w:val="000000"/>
          <w:lang w:eastAsia="es-ES"/>
        </w:rPr>
      </w:pPr>
      <w:r w:rsidRPr="00652151">
        <w:rPr>
          <w:rFonts w:ascii="Arial" w:eastAsia="Times New Roman" w:hAnsi="Arial" w:cs="Arial"/>
          <w:color w:val="000000"/>
          <w:lang w:eastAsia="es-ES"/>
        </w:rPr>
        <w:t> </w:t>
      </w:r>
    </w:p>
    <w:p w:rsidR="002C5E87" w:rsidRDefault="002C5E87"/>
    <w:sectPr w:rsidR="002C5E87" w:rsidSect="00652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151"/>
    <w:rsid w:val="002C5E87"/>
    <w:rsid w:val="0065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52151"/>
  </w:style>
  <w:style w:type="character" w:styleId="Textoennegrita">
    <w:name w:val="Strong"/>
    <w:basedOn w:val="Fuentedeprrafopredeter"/>
    <w:uiPriority w:val="22"/>
    <w:qFormat/>
    <w:rsid w:val="0065215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52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tariosyregistradores.com/CONSUMO/ARTICULOS/2012-antecedentes-rdley-6-201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4294</Characters>
  <Application>Microsoft Office Word</Application>
  <DocSecurity>0</DocSecurity>
  <Lines>35</Lines>
  <Paragraphs>10</Paragraphs>
  <ScaleCrop>false</ScaleCrop>
  <Company>PERSONAL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2014-01-25T17:08:00Z</dcterms:created>
  <dcterms:modified xsi:type="dcterms:W3CDTF">2014-01-25T17:10:00Z</dcterms:modified>
</cp:coreProperties>
</file>